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752183">
      <w:pPr>
        <w:pStyle w:val="FirstParagraph"/>
        <w:spacing w:line="480" w:lineRule="auto"/>
        <w:ind w:firstLine="720"/>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22D98598" w:rsidR="00060C27" w:rsidRDefault="00DE3BBE" w:rsidP="00B90E9D">
      <w:pPr>
        <w:pStyle w:val="Bibliography"/>
      </w:pPr>
      <w:r>
        <w:br w:type="page"/>
      </w:r>
      <w:r w:rsidR="00B90E9D">
        <w:lastRenderedPageBreak/>
        <w:t>Fig 2-1</w:t>
      </w:r>
      <w:r w:rsidR="001F5A3B">
        <w:rPr>
          <w:noProof/>
        </w:rPr>
        <w:drawing>
          <wp:inline distT="0" distB="0" distL="0" distR="0" wp14:anchorId="29A03253" wp14:editId="0BE31CEE">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BC227D" w:rsidR="00060C27" w:rsidRDefault="00DE3BBE" w:rsidP="00DE3BBE">
      <w:pPr>
        <w:pStyle w:val="BodyText"/>
        <w:spacing w:line="480" w:lineRule="auto"/>
        <w:outlineLvl w:val="0"/>
      </w:pPr>
      <w:r>
        <w:br w:type="page"/>
      </w:r>
      <w:r w:rsidR="00B90E9D">
        <w:lastRenderedPageBreak/>
        <w:t>Fig. 2-3</w:t>
      </w:r>
      <w:r w:rsidR="00900FB7">
        <w:rPr>
          <w:noProof/>
        </w:rPr>
        <w:drawing>
          <wp:inline distT="0" distB="0" distL="0" distR="0" wp14:anchorId="7B2AF87F" wp14:editId="4E6689AA">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2BDAC44F" w:rsidR="00963DBA" w:rsidRDefault="00963DBA" w:rsidP="00963DBA">
      <w:pPr>
        <w:rPr>
          <w:b/>
        </w:rPr>
      </w:pPr>
      <w:r>
        <w:lastRenderedPageBreak/>
        <w:t>Fig. 2-4</w:t>
      </w:r>
      <w:r w:rsidR="00900FB7">
        <w:rPr>
          <w:noProof/>
        </w:rPr>
        <w:drawing>
          <wp:inline distT="0" distB="0" distL="0" distR="0" wp14:anchorId="7885995A" wp14:editId="64DA7581">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265493FA" w:rsidR="0089424C" w:rsidRDefault="0089424C">
      <w:pPr>
        <w:rPr>
          <w:b/>
        </w:rPr>
      </w:pPr>
      <w:r>
        <w:lastRenderedPageBreak/>
        <w:t>Fig. 2-5</w:t>
      </w:r>
      <w:r w:rsidR="00900FB7">
        <w:rPr>
          <w:noProof/>
        </w:rPr>
        <w:drawing>
          <wp:inline distT="0" distB="0" distL="0" distR="0" wp14:anchorId="570D71E1" wp14:editId="1DFA4C7A">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05FE6FD3" w:rsidR="00C560A8" w:rsidRDefault="00C560A8" w:rsidP="00C560A8">
      <w:pPr>
        <w:pStyle w:val="BodyText"/>
        <w:spacing w:line="480" w:lineRule="auto"/>
        <w:outlineLvl w:val="0"/>
      </w:pPr>
      <w:r>
        <w:br w:type="page"/>
      </w:r>
      <w:r>
        <w:lastRenderedPageBreak/>
        <w:t>Fig. 2-6</w:t>
      </w:r>
      <w:r w:rsidR="007B66E2">
        <w:rPr>
          <w:noProof/>
        </w:rPr>
        <w:drawing>
          <wp:inline distT="0" distB="0" distL="0" distR="0" wp14:anchorId="1A82F45B" wp14:editId="50F945FA">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w:t>
      </w:r>
      <w:proofErr w:type="gramStart"/>
      <w:r>
        <w:t>( 0</w:t>
      </w:r>
      <w:proofErr w:type="gramEnd"/>
      <w:r>
        <w:t xml:space="preserve"> – 500 </w:t>
      </w:r>
      <w:proofErr w:type="spellStart"/>
      <w:r>
        <w:t>bp</w:t>
      </w:r>
      <w:proofErr w:type="spellEnd"/>
      <w:r>
        <w:t xml:space="preserve">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07517633" w:rsidR="00C560A8" w:rsidRDefault="00C560A8" w:rsidP="00C560A8">
      <w:pPr>
        <w:pStyle w:val="BodyText"/>
        <w:spacing w:line="480" w:lineRule="auto"/>
        <w:outlineLvl w:val="0"/>
      </w:pPr>
      <w:r>
        <w:br w:type="page"/>
      </w:r>
      <w:r>
        <w:lastRenderedPageBreak/>
        <w:t xml:space="preserve">Fig. 2-8 </w:t>
      </w:r>
      <w:r w:rsidR="00900FB7">
        <w:rPr>
          <w:noProof/>
        </w:rPr>
        <w:drawing>
          <wp:inline distT="0" distB="0" distL="0" distR="0" wp14:anchorId="315B983F" wp14:editId="4587D70A">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5B15AA59" w:rsidR="00C560A8" w:rsidRDefault="00C560A8" w:rsidP="00C560A8">
      <w:pPr>
        <w:pStyle w:val="BodyText"/>
        <w:spacing w:line="480" w:lineRule="auto"/>
        <w:outlineLvl w:val="0"/>
      </w:pPr>
      <w:r>
        <w:br w:type="page"/>
      </w:r>
      <w:r w:rsidR="009C709A">
        <w:lastRenderedPageBreak/>
        <w:t>Fig. 2-9</w:t>
      </w:r>
      <w:r w:rsidR="00900FB7">
        <w:rPr>
          <w:noProof/>
        </w:rPr>
        <w:drawing>
          <wp:inline distT="0" distB="0" distL="0" distR="0" wp14:anchorId="15593EA1" wp14:editId="23BE6AD8">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w:t>
      </w:r>
      <w:proofErr w:type="spellStart"/>
      <w:r>
        <w:t>motis</w:t>
      </w:r>
      <w:proofErr w:type="spellEnd"/>
      <w:r>
        <w:t xml:space="preserve">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43C7F6AF" w14:textId="5294A3EE" w:rsidR="009C709A" w:rsidRDefault="009C709A" w:rsidP="009C709A">
      <w:pPr>
        <w:pStyle w:val="BodyText"/>
        <w:spacing w:line="480" w:lineRule="auto"/>
        <w:outlineLvl w:val="0"/>
      </w:pPr>
      <w:r>
        <w:br w:type="page"/>
      </w:r>
      <w:r>
        <w:lastRenderedPageBreak/>
        <w:t>Fig. 2-10</w:t>
      </w:r>
      <w:r w:rsidR="00900FB7">
        <w:rPr>
          <w:noProof/>
        </w:rPr>
        <w:drawing>
          <wp:inline distT="0" distB="0" distL="0" distR="0" wp14:anchorId="1BC5DBF5" wp14:editId="0C1D13FE">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Gro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r w:rsidR="00963DBA">
        <w:t>similarly</w:t>
      </w:r>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w:t>
      </w:r>
      <w:proofErr w:type="spellStart"/>
      <w:r w:rsidR="00C0135E">
        <w:t>hr</w:t>
      </w:r>
      <w:proofErr w:type="spellEnd"/>
      <w:r w:rsidR="00C0135E">
        <w:t xml:space="preserve">)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w:t>
      </w:r>
      <w:proofErr w:type="spellStart"/>
      <w:r w:rsidR="00C0135E">
        <w:t>dCBP</w:t>
      </w:r>
      <w:proofErr w:type="spellEnd"/>
      <w:r w:rsidR="00C0135E">
        <w:t xml:space="preserve">.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C0135E">
        <w:t>6.5 hour</w:t>
      </w:r>
      <w:proofErr w:type="gramEnd"/>
      <w:r w:rsidR="00C0135E">
        <w:t xml:space="preserve">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7ABA39C9" w:rsidR="00C0135E" w:rsidRDefault="00797813" w:rsidP="00C0135E">
      <w:pPr>
        <w:pStyle w:val="BodyText"/>
        <w:spacing w:line="480" w:lineRule="auto"/>
      </w:pPr>
      <w:r>
        <w:lastRenderedPageBreak/>
        <w:t>Fig. 2-14</w:t>
      </w:r>
      <w:r w:rsidR="00900FB7">
        <w:rPr>
          <w:noProof/>
        </w:rPr>
        <w:drawing>
          <wp:inline distT="0" distB="0" distL="0" distR="0" wp14:anchorId="289A0EE6" wp14:editId="2D38E51C">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xml:space="preserve">. The majority of Groucho recruitment sites in the early embryo additionally bind Dorsal, </w:t>
      </w:r>
      <w:proofErr w:type="spellStart"/>
      <w:r>
        <w:rPr>
          <w:b/>
        </w:rPr>
        <w:t>Dichaete</w:t>
      </w:r>
      <w:proofErr w:type="spellEnd"/>
      <w:r>
        <w:rPr>
          <w:b/>
        </w:rPr>
        <w:t>, and, less frequently, multiple additional factors.</w:t>
      </w:r>
      <w:r w:rsidR="00F10D2C">
        <w:rPr>
          <w:b/>
        </w:rPr>
        <w:t xml:space="preserve"> </w:t>
      </w:r>
      <w:r w:rsidR="00F10D2C">
        <w:t xml:space="preserve">A clustered </w:t>
      </w:r>
      <w:proofErr w:type="spellStart"/>
      <w:r w:rsidR="00F10D2C">
        <w:t>heatmap</w:t>
      </w:r>
      <w:proofErr w:type="spellEnd"/>
      <w:r w:rsidR="00F10D2C">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w:t>
      </w:r>
      <w:proofErr w:type="spellStart"/>
      <w:r>
        <w:t>hr</w:t>
      </w:r>
      <w:proofErr w:type="spellEnd"/>
      <w:r>
        <w:t xml:space="preserve">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w:t>
      </w:r>
      <w:proofErr w:type="spellStart"/>
      <w:r>
        <w:t>Knirps</w:t>
      </w:r>
      <w:proofErr w:type="spellEnd"/>
      <w:r>
        <w:t xml:space="preserve"> (</w:t>
      </w:r>
      <w:proofErr w:type="spellStart"/>
      <w:r>
        <w:t>kni</w:t>
      </w:r>
      <w:proofErr w:type="spellEnd"/>
      <w:r>
        <w:t>), despite the two proteins’ physical interaction {</w:t>
      </w:r>
      <w:proofErr w:type="spellStart"/>
      <w:r>
        <w:t>Payankaulam</w:t>
      </w:r>
      <w:proofErr w:type="spellEnd"/>
      <w:r>
        <w:t xml:space="preserve">, 2009 #2955}. </w:t>
      </w:r>
      <w:r w:rsidRPr="00C4631D">
        <w:rPr>
          <w:b/>
        </w:rPr>
        <w:t>(bottom)</w:t>
      </w:r>
      <w:r>
        <w:t xml:space="preserve"> Groucho </w:t>
      </w:r>
      <w:proofErr w:type="spellStart"/>
      <w:r>
        <w:t>colocalizes</w:t>
      </w:r>
      <w:proofErr w:type="spellEnd"/>
      <w:r>
        <w:t xml:space="preserve"> with the majority of dorsal-ventral patterning genes assayed during the second timepoint, the most significant exception being snail, which Groucho preferentially </w:t>
      </w:r>
      <w:proofErr w:type="spellStart"/>
      <w:r>
        <w:t>colocalizes</w:t>
      </w:r>
      <w:proofErr w:type="spellEnd"/>
      <w:r>
        <w:t xml:space="preserve">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5C751C99" w:rsidR="00A373F3" w:rsidRDefault="00DE3BBE" w:rsidP="00DE3BBE">
      <w:pPr>
        <w:pStyle w:val="BodyText"/>
        <w:spacing w:line="480" w:lineRule="auto"/>
        <w:outlineLvl w:val="0"/>
      </w:pPr>
      <w:r>
        <w:br w:type="page"/>
      </w:r>
      <w:r w:rsidR="00797813">
        <w:lastRenderedPageBreak/>
        <w:t>Fig. 2-17</w:t>
      </w:r>
      <w:r w:rsidR="00900FB7">
        <w:rPr>
          <w:noProof/>
        </w:rPr>
        <w:drawing>
          <wp:inline distT="0" distB="0" distL="0" distR="0" wp14:anchorId="1B252BD0" wp14:editId="00CD3BA0">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rsidR="00A373F3">
        <w:t>dGro</w:t>
      </w:r>
      <w:proofErr w:type="spellEnd"/>
      <w:r w:rsidR="00A373F3">
        <w:t xml:space="preserve"> - Gro maternal loss-of-function, </w:t>
      </w:r>
      <w:proofErr w:type="spellStart"/>
      <w:r w:rsidR="00A373F3">
        <w:t>dSP</w:t>
      </w:r>
      <w:proofErr w:type="spellEnd"/>
      <w:r w:rsidR="00A373F3">
        <w:t xml:space="preserve"> - Gro</w:t>
      </w:r>
    </w:p>
    <w:p w14:paraId="0DB84B30" w14:textId="034E8AAD" w:rsidR="00A373F3" w:rsidRDefault="00DE3BBE" w:rsidP="00DE3BBE">
      <w:pPr>
        <w:pStyle w:val="BodyText"/>
        <w:spacing w:line="480" w:lineRule="auto"/>
        <w:outlineLvl w:val="0"/>
      </w:pPr>
      <w:r>
        <w:br w:type="page"/>
      </w:r>
      <w:r w:rsidR="00797813">
        <w:lastRenderedPageBreak/>
        <w:t>Fig. 2-18</w:t>
      </w:r>
      <w:r w:rsidR="007B66E2">
        <w:rPr>
          <w:noProof/>
        </w:rPr>
        <w:drawing>
          <wp:inline distT="0" distB="0" distL="0" distR="0" wp14:anchorId="0A13623A" wp14:editId="6745FED8">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Gro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Gro at two levels (approx. 2x and 4x endogenous), or a Gro mutant lacking the SP domain (</w:t>
      </w:r>
      <w:proofErr w:type="spellStart"/>
      <w:r w:rsidR="00C94186">
        <w:t>GrodSP</w:t>
      </w:r>
      <w:proofErr w:type="spellEnd"/>
      <w:r w:rsidR="00C94186">
        <w:t>), results in a smaller, but still significant alteration of the embryonic transcription profile.</w:t>
      </w:r>
    </w:p>
    <w:p w14:paraId="0E47F23A" w14:textId="1DB4B2B8" w:rsidR="00C94186" w:rsidRDefault="00DE3BBE" w:rsidP="00DE3BBE">
      <w:pPr>
        <w:pStyle w:val="BodyText"/>
        <w:spacing w:line="480" w:lineRule="auto"/>
        <w:outlineLvl w:val="0"/>
      </w:pPr>
      <w:r>
        <w:br w:type="page"/>
      </w:r>
      <w:r w:rsidR="00797813">
        <w:lastRenderedPageBreak/>
        <w:t>Fig. 2-20</w:t>
      </w:r>
      <w:r w:rsidR="00900FB7">
        <w:rPr>
          <w:noProof/>
        </w:rPr>
        <w:drawing>
          <wp:inline distT="0" distB="0" distL="0" distR="0" wp14:anchorId="6F74E6D2" wp14:editId="2257CF34">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119D9F72" w:rsidR="00C612CF" w:rsidRDefault="00DE3BBE" w:rsidP="00DE3BBE">
      <w:pPr>
        <w:pStyle w:val="BodyText"/>
        <w:spacing w:line="480" w:lineRule="auto"/>
        <w:outlineLvl w:val="0"/>
      </w:pPr>
      <w:r>
        <w:br w:type="page"/>
      </w:r>
      <w:r w:rsidR="00797813">
        <w:lastRenderedPageBreak/>
        <w:t>Fig. 2-21</w:t>
      </w:r>
      <w:r w:rsidR="00900FB7">
        <w:rPr>
          <w:noProof/>
        </w:rPr>
        <w:drawing>
          <wp:inline distT="0" distB="0" distL="0" distR="0" wp14:anchorId="691DC615" wp14:editId="2273A5F2">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sidR="00797813">
        <w:lastRenderedPageBreak/>
        <w:t>Fig. 2-21</w:t>
      </w:r>
      <w:r w:rsidR="00F45B95">
        <w:t xml:space="preserve"> (</w:t>
      </w:r>
      <w:proofErr w:type="spellStart"/>
      <w:r w:rsidR="00F45B95">
        <w:t>cont</w:t>
      </w:r>
      <w:proofErr w:type="spellEnd"/>
      <w:r w:rsidR="00F45B95">
        <w:t>)</w:t>
      </w:r>
      <w:r w:rsidR="00C612CF">
        <w:t xml:space="preserve"> </w:t>
      </w:r>
      <w:r w:rsidR="00900FB7">
        <w:rPr>
          <w:noProof/>
        </w:rPr>
        <w:drawing>
          <wp:inline distT="0" distB="0" distL="0" distR="0" wp14:anchorId="39A817E1" wp14:editId="1DEFBFCB">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34081CA1" w14:textId="0C25C449" w:rsidR="003A3ABD" w:rsidRPr="00D35FD4" w:rsidRDefault="00797813" w:rsidP="003A3ABD">
      <w:pPr>
        <w:pStyle w:val="BodyText"/>
        <w:spacing w:line="480" w:lineRule="auto"/>
      </w:pPr>
      <w:r>
        <w:rPr>
          <w:b/>
        </w:rPr>
        <w:lastRenderedPageBreak/>
        <w:t>Figure 2-22</w:t>
      </w:r>
      <w:r w:rsidR="00D35FD4">
        <w:rPr>
          <w:b/>
        </w:rPr>
        <w:t xml:space="preserve">. A subset of genes </w:t>
      </w:r>
      <w:proofErr w:type="gramStart"/>
      <w:r w:rsidR="00D35FD4">
        <w:rPr>
          <w:b/>
        </w:rPr>
        <w:t>are</w:t>
      </w:r>
      <w:proofErr w:type="gramEnd"/>
      <w:r w:rsidR="00D35FD4">
        <w:rPr>
          <w:b/>
        </w:rPr>
        <w:t xml:space="preserve"> differentially expressed under both loss and gain of Groucho dosage. </w:t>
      </w:r>
      <w:r w:rsidR="00D35FD4">
        <w:t>The log</w:t>
      </w:r>
      <w:r w:rsidR="00D35FD4">
        <w:rPr>
          <w:vertAlign w:val="subscript"/>
        </w:rPr>
        <w:t>2</w:t>
      </w:r>
      <w:r w:rsidR="00D35FD4">
        <w:t xml:space="preserve"> fold-change of gene expression of each gene was calculated by comparing expression levels in Groucho mutant embryos versus wild-type. A subset of the total Groucho-effected genes </w:t>
      </w:r>
      <w:proofErr w:type="gramStart"/>
      <w:r w:rsidR="00D35FD4">
        <w:t>were</w:t>
      </w:r>
      <w:proofErr w:type="gramEnd"/>
      <w:r w:rsidR="00D35FD4">
        <w:t xml:space="preserve"> identified as being </w:t>
      </w:r>
      <w:proofErr w:type="spellStart"/>
      <w:r w:rsidR="00D35FD4">
        <w:t>misregulated</w:t>
      </w:r>
      <w:proofErr w:type="spellEnd"/>
      <w:r w:rsidR="00D35FD4">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3A0E28D" w14:textId="7554C472" w:rsidR="007B66E2" w:rsidRDefault="007B66E2" w:rsidP="007B66E2">
      <w:pPr>
        <w:spacing w:line="480" w:lineRule="auto"/>
      </w:pPr>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A score corresponding to the distribution of Groucho occupancy within and in adjacent areas of a gene was calculated using a previously published algorithm {</w:t>
      </w:r>
      <w:proofErr w:type="spellStart"/>
      <w:r>
        <w:t>Sandmann</w:t>
      </w:r>
      <w:proofErr w:type="spellEnd"/>
      <w:r>
        <w:t>,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AD21CE" w14:textId="77777777" w:rsidR="007B66E2" w:rsidRDefault="007B66E2">
      <w:r>
        <w:br w:type="page"/>
      </w:r>
    </w:p>
    <w:p w14:paraId="3E200DF2" w14:textId="420FFDA0" w:rsidR="007B66E2" w:rsidRDefault="007B66E2" w:rsidP="007B66E2">
      <w:pPr>
        <w:pStyle w:val="BodyText"/>
        <w:spacing w:line="480" w:lineRule="auto"/>
      </w:pPr>
      <w:r>
        <w:lastRenderedPageBreak/>
        <w:t>Fig. 2-24</w:t>
      </w:r>
      <w:r>
        <w:rPr>
          <w:noProof/>
        </w:rPr>
        <w:drawing>
          <wp:inline distT="0" distB="0" distL="0" distR="0" wp14:anchorId="4440A642" wp14:editId="1C8C0106">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81B33C4" w14:textId="073FC48F" w:rsidR="007B66E2" w:rsidRDefault="007B66E2" w:rsidP="00847994">
      <w:pPr>
        <w:spacing w:line="480" w:lineRule="auto"/>
        <w:rPr>
          <w:b/>
        </w:rPr>
      </w:pPr>
      <w:r>
        <w:rPr>
          <w:b/>
        </w:rPr>
        <w:br w:type="page"/>
      </w:r>
      <w:r>
        <w:rPr>
          <w:b/>
        </w:rPr>
        <w:lastRenderedPageBreak/>
        <w:t xml:space="preserve">Figure 2-25. </w:t>
      </w:r>
      <w:r w:rsidR="00847994">
        <w:rPr>
          <w:b/>
        </w:rPr>
        <w:t xml:space="preserve">Potential Groucho targets identified by the Gro-dosage responsive and occupancy scoring methods. </w:t>
      </w:r>
      <w:r w:rsidR="00847994">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sidR="00847994">
        <w:rPr>
          <w:i/>
        </w:rPr>
        <w:t>p &lt; 10</w:t>
      </w:r>
      <w:r w:rsidR="00847994">
        <w:rPr>
          <w:i/>
          <w:vertAlign w:val="superscript"/>
        </w:rPr>
        <w:t>-10</w:t>
      </w:r>
      <w:r w:rsidR="00847994">
        <w:rPr>
          <w:i/>
        </w:rPr>
        <w:t xml:space="preserve">, </w:t>
      </w:r>
      <w:r w:rsidR="00847994">
        <w:t>hypergeometric test).</w:t>
      </w:r>
      <w:r>
        <w:rPr>
          <w:b/>
        </w:rPr>
        <w:br w:type="page"/>
      </w:r>
    </w:p>
    <w:p w14:paraId="511B6E07" w14:textId="1CDD958F" w:rsidR="007B66E2" w:rsidRDefault="007B66E2">
      <w:pPr>
        <w:rPr>
          <w:b/>
        </w:rPr>
      </w:pPr>
      <w:r>
        <w:rPr>
          <w:b/>
        </w:rPr>
        <w:lastRenderedPageBreak/>
        <w:t>Fig. 2-25</w:t>
      </w:r>
      <w:r>
        <w:rPr>
          <w:b/>
          <w:noProof/>
        </w:rPr>
        <w:drawing>
          <wp:inline distT="0" distB="0" distL="0" distR="0" wp14:anchorId="065A77F0" wp14:editId="2816FD2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01491387" w14:textId="0CA4230D" w:rsidR="00797813" w:rsidRPr="006B25C3" w:rsidRDefault="007B66E2" w:rsidP="00797813">
      <w:pPr>
        <w:pStyle w:val="BodyText"/>
        <w:spacing w:line="480" w:lineRule="auto"/>
      </w:pPr>
      <w:r>
        <w:rPr>
          <w:b/>
        </w:rPr>
        <w:lastRenderedPageBreak/>
        <w:t>Figure 2-26</w:t>
      </w:r>
      <w:r w:rsidR="00797813">
        <w:rPr>
          <w:b/>
        </w:rPr>
        <w:t xml:space="preserve">. Groucho-regulated genes are enriched for developmentally-regulated transcription factors. </w:t>
      </w:r>
      <w:r w:rsidR="00797813">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3E7B1B43" w:rsidR="00797813" w:rsidRPr="006B6CF2" w:rsidRDefault="00797813" w:rsidP="00797813">
      <w:pPr>
        <w:pStyle w:val="BodyText"/>
        <w:spacing w:line="480" w:lineRule="auto"/>
        <w:outlineLvl w:val="0"/>
      </w:pPr>
      <w:r>
        <w:br w:type="page"/>
      </w:r>
      <w:r w:rsidR="007B66E2">
        <w:lastRenderedPageBreak/>
        <w:t>Fig. 2-26</w:t>
      </w:r>
      <w:r w:rsidR="00900FB7">
        <w:rPr>
          <w:noProof/>
        </w:rPr>
        <w:drawing>
          <wp:inline distT="0" distB="0" distL="0" distR="0" wp14:anchorId="433A7DCB" wp14:editId="626B03BB">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sidR="007B66E2">
        <w:rPr>
          <w:b/>
        </w:rPr>
        <w:lastRenderedPageBreak/>
        <w:t>Figure 2.27</w:t>
      </w:r>
      <w:r w:rsidR="00EB49CE">
        <w:rPr>
          <w:b/>
        </w:rPr>
        <w:t xml:space="preserve">. Groucho target genes form a highly-interconnected network with multiple hubs. </w:t>
      </w:r>
      <w:r w:rsidR="00EB49CE">
        <w:t xml:space="preserve">Potential Groucho-target genes identified by the two methods outlined above were integrated into a network analysis to visualize genetic and physical interactions of these target genes. Genetic (blue edges) and physical (orange edges) were obtained from a curated set maintained by </w:t>
      </w:r>
      <w:proofErr w:type="spellStart"/>
      <w:r w:rsidR="00EB49CE">
        <w:t>FlyMine</w:t>
      </w:r>
      <w:proofErr w:type="spellEnd"/>
      <w:r w:rsidR="00EB49CE">
        <w:t xml:space="preserve"> {</w:t>
      </w:r>
      <w:proofErr w:type="spellStart"/>
      <w:r w:rsidR="00EB49CE">
        <w:t>Lyne</w:t>
      </w:r>
      <w:proofErr w:type="spellEnd"/>
      <w:r w:rsidR="00EB49CE">
        <w:t xml:space="preserve">, 2007 #3180}. Both gene sets result in highly-connected networks with multiple hubs (8 or more edges, yellow nodes) interconnected by multiple genetic interactions. </w:t>
      </w:r>
      <w:r w:rsidR="006B6CF2" w:rsidRPr="006B6CF2">
        <w:rPr>
          <w:b/>
        </w:rPr>
        <w:t>(A)</w:t>
      </w:r>
      <w:r w:rsidR="006B6CF2">
        <w:t xml:space="preserve"> The Groucho dosage responsive gene list identifies a large network containing multiple </w:t>
      </w:r>
      <w:r w:rsidR="006B6CF2" w:rsidRPr="006B6CF2">
        <w:t>E(</w:t>
      </w:r>
      <w:proofErr w:type="spellStart"/>
      <w:r w:rsidR="006B6CF2" w:rsidRPr="006B6CF2">
        <w:t>spl</w:t>
      </w:r>
      <w:proofErr w:type="spellEnd"/>
      <w:r w:rsidR="006B6CF2" w:rsidRPr="006B6CF2">
        <w:t>)-</w:t>
      </w:r>
      <w:r w:rsidR="006B6CF2">
        <w:t xml:space="preserve">family proteins, as well as Delta (Dl), </w:t>
      </w:r>
      <w:proofErr w:type="spellStart"/>
      <w:r w:rsidR="006B6CF2">
        <w:t>Sprouty</w:t>
      </w:r>
      <w:proofErr w:type="spellEnd"/>
      <w:r w:rsidR="006B6CF2">
        <w:t xml:space="preserve"> (sty), Atonal (</w:t>
      </w:r>
      <w:proofErr w:type="spellStart"/>
      <w:r w:rsidR="006B6CF2">
        <w:t>ato</w:t>
      </w:r>
      <w:proofErr w:type="spellEnd"/>
      <w:r w:rsidR="006B6CF2">
        <w:t>), and Patched (</w:t>
      </w:r>
      <w:proofErr w:type="spellStart"/>
      <w:r w:rsidR="006B6CF2">
        <w:t>ptc</w:t>
      </w:r>
      <w:proofErr w:type="spellEnd"/>
      <w:r w:rsidR="006B6CF2">
        <w:t xml:space="preserve">) hubs. </w:t>
      </w:r>
      <w:r w:rsidR="006B6CF2">
        <w:rPr>
          <w:b/>
        </w:rPr>
        <w:t xml:space="preserve">(B) </w:t>
      </w:r>
      <w:r w:rsidR="006B6CF2">
        <w:t xml:space="preserve">The Gro-targets identified by Groucho occupancy score reveals a similar, but larger, network. Hubs representing genes regulated by the </w:t>
      </w:r>
      <w:proofErr w:type="spellStart"/>
      <w:r w:rsidR="006B6CF2">
        <w:t>Decapentapletic</w:t>
      </w:r>
      <w:proofErr w:type="spellEnd"/>
      <w:r w:rsidR="006B6CF2">
        <w:t xml:space="preserve"> (</w:t>
      </w:r>
      <w:proofErr w:type="spellStart"/>
      <w:r w:rsidR="006B6CF2">
        <w:t>Dpp</w:t>
      </w:r>
      <w:proofErr w:type="spellEnd"/>
      <w:r w:rsidR="006B6CF2">
        <w:t>), Wingless (</w:t>
      </w:r>
      <w:proofErr w:type="spellStart"/>
      <w:r w:rsidR="006B6CF2">
        <w:t>wg</w:t>
      </w:r>
      <w:proofErr w:type="spellEnd"/>
      <w:r w:rsidR="006B6CF2">
        <w:t xml:space="preserve">), and </w:t>
      </w:r>
      <w:proofErr w:type="spellStart"/>
      <w:r w:rsidR="006B6CF2">
        <w:t>Ras</w:t>
      </w:r>
      <w:proofErr w:type="spellEnd"/>
      <w:r w:rsidR="006B6CF2">
        <w:t xml:space="preserve">/MAPK (EGFR and </w:t>
      </w:r>
      <w:proofErr w:type="spellStart"/>
      <w:r w:rsidR="006B6CF2">
        <w:t>anterior-</w:t>
      </w:r>
      <w:proofErr w:type="gramStart"/>
      <w:r w:rsidR="006B6CF2">
        <w:t>open;aop</w:t>
      </w:r>
      <w:proofErr w:type="spellEnd"/>
      <w:proofErr w:type="gramEnd"/>
      <w:r w:rsidR="006B6CF2">
        <w:t xml:space="preserve">) pathways. Additional regulatory hubs include </w:t>
      </w:r>
      <w:proofErr w:type="spellStart"/>
      <w:r w:rsidR="006B6CF2">
        <w:t>Thick</w:t>
      </w:r>
      <w:r w:rsidR="004A256B">
        <w:t>veins</w:t>
      </w:r>
      <w:proofErr w:type="spellEnd"/>
      <w:r w:rsidR="004A256B">
        <w:t xml:space="preserve"> (</w:t>
      </w:r>
      <w:proofErr w:type="spellStart"/>
      <w:r w:rsidR="004A256B">
        <w:t>tkv</w:t>
      </w:r>
      <w:proofErr w:type="spellEnd"/>
      <w:r w:rsidR="004A256B">
        <w:t>), Pannier (</w:t>
      </w:r>
      <w:proofErr w:type="spellStart"/>
      <w:r w:rsidR="004A256B">
        <w:t>pnr</w:t>
      </w:r>
      <w:proofErr w:type="spellEnd"/>
      <w:r w:rsidR="004A256B">
        <w:t>), Patched (</w:t>
      </w:r>
      <w:proofErr w:type="spellStart"/>
      <w:r w:rsidR="004A256B">
        <w:t>ptc</w:t>
      </w:r>
      <w:proofErr w:type="spellEnd"/>
      <w:r w:rsidR="004A256B">
        <w:t xml:space="preserve">), and </w:t>
      </w:r>
      <w:proofErr w:type="spellStart"/>
      <w:r w:rsidR="004A256B">
        <w:t>Cyclin</w:t>
      </w:r>
      <w:proofErr w:type="spellEnd"/>
      <w:r w:rsidR="004A256B">
        <w:t xml:space="preserve"> G (</w:t>
      </w:r>
      <w:proofErr w:type="spellStart"/>
      <w:r w:rsidR="004A256B">
        <w:t>CycG</w:t>
      </w:r>
      <w:proofErr w:type="spellEnd"/>
      <w:r w:rsidR="004A256B">
        <w:t>).</w:t>
      </w:r>
    </w:p>
    <w:p w14:paraId="702F5EE6" w14:textId="330E36D0" w:rsidR="007B66E2" w:rsidRDefault="007B66E2">
      <w:pPr>
        <w:rPr>
          <w:b/>
        </w:rPr>
      </w:pPr>
      <w:r>
        <w:rPr>
          <w:b/>
        </w:rPr>
        <w:br w:type="page"/>
      </w:r>
    </w:p>
    <w:p w14:paraId="43599D08" w14:textId="52A38631" w:rsidR="007B66E2" w:rsidRDefault="007B66E2" w:rsidP="00797813">
      <w:pPr>
        <w:pStyle w:val="BodyText"/>
        <w:spacing w:line="480" w:lineRule="auto"/>
        <w:outlineLvl w:val="0"/>
        <w:rPr>
          <w:b/>
        </w:rPr>
      </w:pPr>
      <w:r>
        <w:rPr>
          <w:b/>
        </w:rPr>
        <w:lastRenderedPageBreak/>
        <w:t>Fig. 2-27</w:t>
      </w:r>
      <w:r w:rsidR="00900FB7">
        <w:rPr>
          <w:b/>
          <w:noProof/>
        </w:rPr>
        <w:drawing>
          <wp:inline distT="0" distB="0" distL="0" distR="0" wp14:anchorId="12BD5038" wp14:editId="7738A1C9">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656E3F6E" w14:textId="2EC40DF6" w:rsidR="007B66E2" w:rsidRPr="007B66E2" w:rsidRDefault="00742B95" w:rsidP="007B66E2">
      <w:pPr>
        <w:rPr>
          <w:b/>
        </w:rPr>
      </w:pPr>
      <w:r>
        <w:rPr>
          <w:b/>
        </w:rPr>
        <w:lastRenderedPageBreak/>
        <w:t>Fig. 2-27 (cont’d)</w:t>
      </w:r>
      <w:r w:rsidR="00900FB7">
        <w:rPr>
          <w:b/>
          <w:noProof/>
        </w:rPr>
        <w:drawing>
          <wp:inline distT="0" distB="0" distL="0" distR="0" wp14:anchorId="59091EFD" wp14:editId="28E68689">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bookmarkStart w:id="0" w:name="_GoBack"/>
      <w:bookmarkEnd w:id="0"/>
    </w:p>
    <w:sectPr w:rsidR="007B66E2" w:rsidRPr="007B66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0EF2C5" w14:textId="77777777" w:rsidR="009261EA" w:rsidRDefault="009261EA">
      <w:pPr>
        <w:spacing w:after="0"/>
      </w:pPr>
      <w:r>
        <w:separator/>
      </w:r>
    </w:p>
  </w:endnote>
  <w:endnote w:type="continuationSeparator" w:id="0">
    <w:p w14:paraId="5D107C60" w14:textId="77777777" w:rsidR="009261EA" w:rsidRDefault="009261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77DCB49" w14:textId="77777777" w:rsidR="009261EA" w:rsidRDefault="009261EA">
      <w:r>
        <w:separator/>
      </w:r>
    </w:p>
  </w:footnote>
  <w:footnote w:type="continuationSeparator" w:id="0">
    <w:p w14:paraId="29BE6C66" w14:textId="77777777" w:rsidR="009261EA" w:rsidRDefault="009261E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4"/>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2ADE"/>
    <w:rsid w:val="001F400E"/>
    <w:rsid w:val="001F5A3B"/>
    <w:rsid w:val="0027114A"/>
    <w:rsid w:val="00285A9D"/>
    <w:rsid w:val="002D149A"/>
    <w:rsid w:val="002E569D"/>
    <w:rsid w:val="002E5D7F"/>
    <w:rsid w:val="003009E5"/>
    <w:rsid w:val="003339D9"/>
    <w:rsid w:val="003420A4"/>
    <w:rsid w:val="00382CDF"/>
    <w:rsid w:val="003A3ABD"/>
    <w:rsid w:val="003A4782"/>
    <w:rsid w:val="004052D8"/>
    <w:rsid w:val="0048501F"/>
    <w:rsid w:val="004A256B"/>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551"/>
    <w:rsid w:val="006706FB"/>
    <w:rsid w:val="006B25C3"/>
    <w:rsid w:val="006B6CF2"/>
    <w:rsid w:val="006B77BB"/>
    <w:rsid w:val="00702B57"/>
    <w:rsid w:val="007173DF"/>
    <w:rsid w:val="00742B95"/>
    <w:rsid w:val="00750F08"/>
    <w:rsid w:val="00752183"/>
    <w:rsid w:val="007578C4"/>
    <w:rsid w:val="00784D58"/>
    <w:rsid w:val="00797813"/>
    <w:rsid w:val="007B66E2"/>
    <w:rsid w:val="007E47E4"/>
    <w:rsid w:val="0083254A"/>
    <w:rsid w:val="008357EC"/>
    <w:rsid w:val="00847994"/>
    <w:rsid w:val="008756D1"/>
    <w:rsid w:val="0087695F"/>
    <w:rsid w:val="008829C2"/>
    <w:rsid w:val="0089424C"/>
    <w:rsid w:val="008D051C"/>
    <w:rsid w:val="008D3347"/>
    <w:rsid w:val="008D6863"/>
    <w:rsid w:val="008F3A42"/>
    <w:rsid w:val="00900FB7"/>
    <w:rsid w:val="009261EA"/>
    <w:rsid w:val="0093029A"/>
    <w:rsid w:val="00944A5C"/>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273E"/>
    <w:rsid w:val="00C233C8"/>
    <w:rsid w:val="00C36279"/>
    <w:rsid w:val="00C4631D"/>
    <w:rsid w:val="00C560A8"/>
    <w:rsid w:val="00C612CF"/>
    <w:rsid w:val="00C94186"/>
    <w:rsid w:val="00CC3264"/>
    <w:rsid w:val="00CE649F"/>
    <w:rsid w:val="00CF32D0"/>
    <w:rsid w:val="00CF41CF"/>
    <w:rsid w:val="00CF485E"/>
    <w:rsid w:val="00D35FD4"/>
    <w:rsid w:val="00D41F99"/>
    <w:rsid w:val="00D466B1"/>
    <w:rsid w:val="00D47ADD"/>
    <w:rsid w:val="00D61929"/>
    <w:rsid w:val="00DA2691"/>
    <w:rsid w:val="00DB1950"/>
    <w:rsid w:val="00DE3BBE"/>
    <w:rsid w:val="00DE3FE3"/>
    <w:rsid w:val="00DF18D9"/>
    <w:rsid w:val="00DF789B"/>
    <w:rsid w:val="00E22145"/>
    <w:rsid w:val="00E315A3"/>
    <w:rsid w:val="00E54A2F"/>
    <w:rsid w:val="00E81DE6"/>
    <w:rsid w:val="00EB49CE"/>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280</TotalTime>
  <Pages>56</Pages>
  <Words>3171</Words>
  <Characters>18075</Characters>
  <Application>Microsoft Macintosh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86</cp:revision>
  <dcterms:created xsi:type="dcterms:W3CDTF">2015-08-21T22:25:00Z</dcterms:created>
  <dcterms:modified xsi:type="dcterms:W3CDTF">2015-11-17T06:54:00Z</dcterms:modified>
</cp:coreProperties>
</file>